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keepNext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tLeast" w:line="240" w:before="240" w:after="120"/>
        <w:jc w:val="center"/>
        <w:rPr>
          <w:rFonts w:ascii="微軟正黑體" w:hAnsi="微軟正黑體" w:eastAsia="新細明體" w:eastAsiaTheme="minorEastAsia"/>
          <w:bCs w:val="false"/>
        </w:rPr>
      </w:pPr>
      <w:r>
        <w:rPr/>
        <w:drawing>
          <wp:inline distT="0" distB="0" distL="0" distR="0">
            <wp:extent cx="2117090" cy="707390"/>
            <wp:effectExtent l="0" t="0" r="0" b="0"/>
            <wp:docPr id="1" name="圖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6"/>
        <w:keepNext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tLeast" w:line="240"/>
        <w:jc w:val="center"/>
        <w:rPr>
          <w:rFonts w:ascii="微軟正黑體" w:hAnsi="微軟正黑體" w:eastAsia="微軟正黑體"/>
          <w:sz w:val="40"/>
          <w:szCs w:val="40"/>
          <w:shd w:fill="FEFEFE" w:val="clear"/>
        </w:rPr>
      </w:pPr>
      <w:r>
        <w:rPr>
          <w:rFonts w:eastAsia="微軟正黑體" w:ascii="微軟正黑體" w:hAnsi="微軟正黑體"/>
          <w:sz w:val="40"/>
          <w:szCs w:val="40"/>
          <w:shd w:fill="FEFEFE" w:val="clear"/>
        </w:rPr>
      </w:r>
    </w:p>
    <w:p>
      <w:pPr>
        <w:pStyle w:val="Style26"/>
        <w:keepNext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tLeast" w:line="240"/>
        <w:jc w:val="center"/>
        <w:rPr/>
      </w:pPr>
      <w:r>
        <w:rPr>
          <w:rFonts w:eastAsia="微軟正黑體" w:ascii="微軟正黑體" w:hAnsi="微軟正黑體"/>
          <w:sz w:val="40"/>
          <w:szCs w:val="40"/>
          <w:shd w:fill="FEFEFE" w:val="clear"/>
        </w:rPr>
        <w:t>-</w:t>
      </w:r>
      <w:r>
        <w:rPr>
          <w:rFonts w:ascii="微軟正黑體" w:hAnsi="微軟正黑體" w:eastAsia="微軟正黑體"/>
          <w:sz w:val="40"/>
          <w:szCs w:val="40"/>
          <w:shd w:fill="FEFEFE" w:val="clear"/>
        </w:rPr>
        <w:t>客製化課程規</w:t>
      </w:r>
      <w:r>
        <w:rPr>
          <w:rFonts w:ascii="微軟正黑體" w:hAnsi="微軟正黑體" w:cs="標楷體" w:eastAsia="微軟正黑體"/>
          <w:sz w:val="40"/>
          <w:szCs w:val="40"/>
          <w:shd w:fill="FEFEFE" w:val="clear"/>
        </w:rPr>
        <w:t>劃參考</w:t>
      </w:r>
      <w:r>
        <w:rPr>
          <w:rFonts w:eastAsia="微軟正黑體" w:ascii="微軟正黑體" w:hAnsi="微軟正黑體"/>
          <w:sz w:val="40"/>
          <w:szCs w:val="40"/>
          <w:shd w:fill="FEFEFE" w:val="clear"/>
        </w:rPr>
        <w:t>-</w:t>
      </w:r>
    </w:p>
    <w:p>
      <w:pPr>
        <w:pStyle w:val="Normal"/>
        <w:tabs>
          <w:tab w:val="left" w:pos="6240" w:leader="none"/>
        </w:tabs>
        <w:spacing w:lineRule="exact" w:line="500" w:before="120" w:after="120"/>
        <w:ind w:firstLine="404"/>
        <w:rPr>
          <w:rFonts w:ascii="微軟正黑體" w:hAnsi="微軟正黑體" w:eastAsia="微軟正黑體"/>
          <w:spacing w:val="23"/>
          <w:sz w:val="28"/>
          <w:szCs w:val="28"/>
          <w:lang w:val="en-US"/>
        </w:rPr>
      </w:pPr>
      <w:r>
        <w:rPr>
          <w:rFonts w:ascii="微軟正黑體" w:hAnsi="微軟正黑體" w:eastAsia="微軟正黑體"/>
          <w:spacing w:val="23"/>
          <w:sz w:val="28"/>
          <w:szCs w:val="28"/>
          <w:lang w:val="en-US"/>
        </w:rPr>
        <w:t>本公司提供多項客製化課程如下：</w:t>
      </w:r>
    </w:p>
    <w:p>
      <w:pPr>
        <w:pStyle w:val="ListParagraph"/>
        <w:numPr>
          <w:ilvl w:val="0"/>
          <w:numId w:val="3"/>
        </w:numPr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/>
          <w:b/>
          <w:b/>
          <w:spacing w:val="23"/>
          <w:sz w:val="28"/>
          <w:szCs w:val="28"/>
        </w:rPr>
      </w:pPr>
      <w:r>
        <w:rPr>
          <w:rFonts w:ascii="微軟正黑體" w:hAnsi="微軟正黑體" w:cs="細明體" w:eastAsia="微軟正黑體"/>
          <w:b/>
          <w:spacing w:val="23"/>
          <w:sz w:val="28"/>
          <w:szCs w:val="28"/>
        </w:rPr>
        <w:t>國際商港系列課程</w:t>
      </w:r>
    </w:p>
    <w:p>
      <w:pPr>
        <w:pStyle w:val="ListParagraph"/>
        <w:numPr>
          <w:ilvl w:val="1"/>
          <w:numId w:val="3"/>
        </w:numPr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/>
          <w:b/>
          <w:b/>
          <w:spacing w:val="23"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國際商港港棧實務課程</w:t>
      </w:r>
    </w:p>
    <w:p>
      <w:pPr>
        <w:pStyle w:val="ListParagraph"/>
        <w:numPr>
          <w:ilvl w:val="1"/>
          <w:numId w:val="3"/>
        </w:numPr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/>
          <w:b/>
          <w:b/>
          <w:spacing w:val="23"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國際商港工程實務課程</w:t>
      </w:r>
    </w:p>
    <w:p>
      <w:pPr>
        <w:pStyle w:val="ListParagraph"/>
        <w:numPr>
          <w:ilvl w:val="1"/>
          <w:numId w:val="3"/>
        </w:numPr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/>
          <w:b/>
          <w:b/>
          <w:spacing w:val="23"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國際商港業務實務課程</w:t>
      </w:r>
    </w:p>
    <w:p>
      <w:pPr>
        <w:pStyle w:val="ListParagraph"/>
        <w:numPr>
          <w:ilvl w:val="0"/>
          <w:numId w:val="3"/>
        </w:numPr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/>
          <w:b/>
          <w:b/>
          <w:spacing w:val="23"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海事職類系列課程</w:t>
      </w:r>
    </w:p>
    <w:p>
      <w:pPr>
        <w:pStyle w:val="ListParagraph"/>
        <w:numPr>
          <w:ilvl w:val="0"/>
          <w:numId w:val="3"/>
        </w:numPr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/>
          <w:b/>
          <w:b/>
          <w:spacing w:val="23"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郵輪產業系列課程</w:t>
      </w:r>
    </w:p>
    <w:p>
      <w:pPr>
        <w:pStyle w:val="Normal"/>
        <w:tabs>
          <w:tab w:val="left" w:pos="6240" w:leader="none"/>
        </w:tabs>
        <w:spacing w:lineRule="exact" w:line="500" w:before="120" w:after="120"/>
        <w:ind w:left="404" w:hanging="0"/>
        <w:rPr>
          <w:rFonts w:ascii="微軟正黑體" w:hAnsi="微軟正黑體" w:eastAsia="微軟正黑體"/>
          <w:spacing w:val="23"/>
          <w:sz w:val="28"/>
          <w:szCs w:val="28"/>
        </w:rPr>
      </w:pPr>
      <w:r>
        <w:rPr>
          <w:rFonts w:ascii="微軟正黑體" w:hAnsi="微軟正黑體" w:eastAsia="微軟正黑體"/>
          <w:spacing w:val="23"/>
          <w:sz w:val="28"/>
          <w:szCs w:val="28"/>
        </w:rPr>
        <w:t xml:space="preserve">    </w:t>
      </w:r>
      <w:r>
        <w:rPr>
          <w:rFonts w:ascii="微軟正黑體" w:hAnsi="微軟正黑體" w:eastAsia="微軟正黑體"/>
          <w:spacing w:val="23"/>
          <w:sz w:val="28"/>
          <w:szCs w:val="28"/>
        </w:rPr>
        <w:t>以上課程適用於各級學校應用於學生適性與生涯輔導工作，相關之課程內容及課程天數皆可依客製單位需求而彈性調整。</w:t>
      </w:r>
    </w:p>
    <w:p>
      <w:pPr>
        <w:pStyle w:val="Normal"/>
        <w:tabs>
          <w:tab w:val="left" w:pos="6240" w:leader="none"/>
        </w:tabs>
        <w:spacing w:lineRule="exact" w:line="500" w:before="120" w:after="120"/>
        <w:ind w:left="404" w:hanging="0"/>
        <w:rPr>
          <w:rFonts w:ascii="微軟正黑體" w:hAnsi="微軟正黑體" w:eastAsia="微軟正黑體"/>
          <w:spacing w:val="23"/>
          <w:sz w:val="28"/>
          <w:szCs w:val="28"/>
        </w:rPr>
      </w:pPr>
      <w:r>
        <w:rPr>
          <w:rFonts w:eastAsia="微軟正黑體" w:ascii="微軟正黑體" w:hAnsi="微軟正黑體"/>
          <w:spacing w:val="23"/>
          <w:sz w:val="28"/>
          <w:szCs w:val="28"/>
        </w:rPr>
      </w:r>
    </w:p>
    <w:p>
      <w:pPr>
        <w:pStyle w:val="Normal"/>
        <w:pBdr/>
        <w:rPr>
          <w:rFonts w:ascii="微軟正黑體" w:hAnsi="微軟正黑體" w:eastAsia="微軟正黑體"/>
          <w:spacing w:val="23"/>
          <w:sz w:val="32"/>
          <w:szCs w:val="32"/>
          <w:lang w:val="en-US"/>
        </w:rPr>
      </w:pPr>
      <w:r>
        <w:rPr>
          <w:rFonts w:eastAsia="微軟正黑體" w:ascii="微軟正黑體" w:hAnsi="微軟正黑體"/>
          <w:spacing w:val="23"/>
          <w:sz w:val="32"/>
          <w:szCs w:val="32"/>
          <w:lang w:val="en-US"/>
        </w:rPr>
      </w:r>
      <w:r>
        <w:br w:type="page"/>
      </w:r>
    </w:p>
    <w:p>
      <w:pPr>
        <w:pStyle w:val="Normal"/>
        <w:tabs>
          <w:tab w:val="left" w:pos="6240" w:leader="none"/>
        </w:tabs>
        <w:spacing w:lineRule="exact" w:line="500" w:before="120" w:after="120"/>
        <w:ind w:firstLine="454"/>
        <w:rPr>
          <w:rFonts w:ascii="微軟正黑體" w:hAnsi="微軟正黑體" w:eastAsia="微軟正黑體"/>
          <w:spacing w:val="23"/>
          <w:sz w:val="32"/>
          <w:szCs w:val="32"/>
          <w:lang w:val="en-US"/>
        </w:rPr>
      </w:pPr>
      <w:r>
        <w:rPr>
          <w:rFonts w:eastAsia="微軟正黑體" w:ascii="微軟正黑體" w:hAnsi="微軟正黑體"/>
          <w:spacing w:val="23"/>
          <w:sz w:val="32"/>
          <w:szCs w:val="32"/>
          <w:lang w:val="en-US"/>
        </w:rPr>
        <w:t xml:space="preserve">::: </w:t>
      </w:r>
      <w:r>
        <w:rPr>
          <w:rFonts w:ascii="微軟正黑體" w:hAnsi="微軟正黑體" w:eastAsia="微軟正黑體"/>
          <w:b/>
          <w:bCs/>
          <w:sz w:val="32"/>
          <w:szCs w:val="32"/>
        </w:rPr>
        <w:t>課程表安排</w:t>
      </w:r>
      <w:r>
        <w:rPr>
          <w:rFonts w:eastAsia="微軟正黑體" w:ascii="微軟正黑體" w:hAnsi="微軟正黑體"/>
          <w:b/>
          <w:bCs/>
          <w:sz w:val="32"/>
          <w:szCs w:val="32"/>
        </w:rPr>
        <w:t>(</w:t>
      </w:r>
      <w:r>
        <w:rPr>
          <w:rFonts w:ascii="微軟正黑體" w:hAnsi="微軟正黑體" w:eastAsia="微軟正黑體"/>
          <w:b/>
          <w:bCs/>
          <w:sz w:val="32"/>
          <w:szCs w:val="32"/>
        </w:rPr>
        <w:t>範例</w:t>
      </w:r>
      <w:r>
        <w:rPr>
          <w:rFonts w:eastAsia="微軟正黑體" w:ascii="微軟正黑體" w:hAnsi="微軟正黑體"/>
          <w:b/>
          <w:bCs/>
          <w:sz w:val="32"/>
          <w:szCs w:val="32"/>
        </w:rPr>
        <w:t xml:space="preserve">) </w:t>
      </w:r>
      <w:r>
        <w:rPr>
          <w:rFonts w:eastAsia="微軟正黑體" w:ascii="微軟正黑體" w:hAnsi="微軟正黑體"/>
          <w:spacing w:val="23"/>
          <w:sz w:val="32"/>
          <w:szCs w:val="32"/>
          <w:lang w:val="en-US"/>
        </w:rPr>
        <w:t>:::</w:t>
      </w:r>
    </w:p>
    <w:p>
      <w:pPr>
        <w:pStyle w:val="ListParagraph"/>
        <w:numPr>
          <w:ilvl w:val="0"/>
          <w:numId w:val="4"/>
        </w:numPr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/>
          <w:b/>
          <w:b/>
          <w:spacing w:val="23"/>
          <w:sz w:val="28"/>
          <w:szCs w:val="28"/>
        </w:rPr>
      </w:pPr>
      <w:r>
        <w:rPr>
          <w:rFonts w:ascii="微軟正黑體" w:hAnsi="微軟正黑體" w:cs="細明體" w:eastAsia="微軟正黑體"/>
          <w:b/>
          <w:spacing w:val="23"/>
          <w:sz w:val="28"/>
          <w:szCs w:val="28"/>
        </w:rPr>
        <w:t>國際商港系列課程</w:t>
      </w:r>
    </w:p>
    <w:p>
      <w:pPr>
        <w:pStyle w:val="ListParagraph"/>
        <w:numPr>
          <w:ilvl w:val="0"/>
          <w:numId w:val="1"/>
        </w:numPr>
        <w:tabs>
          <w:tab w:val="left" w:pos="6240" w:leader="none"/>
        </w:tabs>
        <w:spacing w:lineRule="exact" w:line="500" w:before="120" w:after="120"/>
        <w:ind w:left="993" w:hanging="480"/>
        <w:rPr>
          <w:rFonts w:ascii="微軟正黑體" w:hAnsi="微軟正黑體" w:eastAsia="微軟正黑體" w:cs="微軟正黑體"/>
          <w:b/>
          <w:b/>
          <w:bCs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國際商港港棧實務課程</w:t>
      </w:r>
      <w:r>
        <w:rPr>
          <w:rFonts w:ascii="微軟正黑體" w:hAnsi="微軟正黑體" w:cs="微軟正黑體" w:eastAsia="微軟正黑體"/>
          <w:b/>
          <w:bCs/>
          <w:sz w:val="28"/>
          <w:szCs w:val="28"/>
        </w:rPr>
        <w:t>：</w:t>
      </w:r>
    </w:p>
    <w:tbl>
      <w:tblPr>
        <w:tblStyle w:val="TableNormal"/>
        <w:tblW w:w="9100" w:type="dxa"/>
        <w:jc w:val="center"/>
        <w:tblInd w:w="0" w:type="dxa"/>
        <w:tblCellMar>
          <w:top w:w="80" w:type="dxa"/>
          <w:left w:w="7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294"/>
        <w:gridCol w:w="3903"/>
        <w:gridCol w:w="3903"/>
      </w:tblGrid>
      <w:tr>
        <w:trPr>
          <w:trHeight w:val="43" w:hRule="atLeast"/>
        </w:trPr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1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2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162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sz w:val="24"/>
                <w:szCs w:val="24"/>
                <w:lang w:val="en-US"/>
              </w:rPr>
              <w:t>上午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報到、集合</w:t>
            </w:r>
          </w:p>
        </w:tc>
      </w:tr>
      <w:tr>
        <w:trPr>
          <w:trHeight w:val="450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 w:cs="標楷體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貨櫃與散什貨作業實務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6240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  <w:lang w:val="en-US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參訪</w:t>
            </w:r>
            <w:r>
              <w:rPr>
                <w:rFonts w:eastAsia="微軟正黑體" w:cs="微軟正黑體" w:ascii="微軟正黑體" w:hAnsi="微軟正黑體"/>
                <w:bCs/>
                <w:sz w:val="28"/>
                <w:szCs w:val="28"/>
              </w:rPr>
              <w:t>VTS</w:t>
            </w: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管制台</w:t>
            </w:r>
          </w:p>
        </w:tc>
      </w:tr>
      <w:tr>
        <w:trPr>
          <w:trHeight w:val="927" w:hRule="atLeast"/>
        </w:trPr>
        <w:tc>
          <w:tcPr>
            <w:tcW w:w="12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 w:cs="微軟正黑體"/>
                <w:sz w:val="24"/>
                <w:szCs w:val="24"/>
                <w:lang w:val="en-US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12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00~|</w:t>
            </w:r>
          </w:p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13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</w:tr>
      <w:tr>
        <w:trPr>
          <w:trHeight w:val="508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下午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綠色生態港埠與港口污染防治</w:t>
            </w:r>
          </w:p>
        </w:tc>
        <w:tc>
          <w:tcPr>
            <w:tcW w:w="3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6240" w:leader="none"/>
              </w:tabs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港棧現場作業實地觀摩</w:t>
            </w:r>
          </w:p>
        </w:tc>
      </w:tr>
      <w:tr>
        <w:trPr>
          <w:trHeight w:val="390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color w:val="00000A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港口災防緊急應變作業</w:t>
            </w:r>
          </w:p>
        </w:tc>
        <w:tc>
          <w:tcPr>
            <w:tcW w:w="3903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</w:tr>
      <w:tr>
        <w:trPr>
          <w:trHeight w:val="442" w:hRule="atLeast"/>
        </w:trPr>
        <w:tc>
          <w:tcPr>
            <w:tcW w:w="1294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  <w:lang w:val="en-US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備註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/>
              <w:jc w:val="left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Cs w:val="20"/>
              </w:rPr>
              <w:t>當日課程安排可能依實際可提供之參訪時間而有所調整。</w:t>
            </w:r>
          </w:p>
        </w:tc>
      </w:tr>
    </w:tbl>
    <w:p>
      <w:pPr>
        <w:pStyle w:val="ListParagraph"/>
        <w:tabs>
          <w:tab w:val="left" w:pos="6240" w:leader="none"/>
        </w:tabs>
        <w:spacing w:lineRule="exact" w:line="500" w:before="120" w:after="120"/>
        <w:ind w:left="993" w:hanging="0"/>
        <w:rPr>
          <w:rFonts w:ascii="微軟正黑體" w:hAnsi="微軟正黑體" w:eastAsia="微軟正黑體" w:cs="微軟正黑體"/>
          <w:b/>
          <w:b/>
          <w:bCs/>
          <w:sz w:val="28"/>
          <w:szCs w:val="28"/>
        </w:rPr>
      </w:pPr>
      <w:r>
        <w:rPr>
          <w:rFonts w:eastAsia="微軟正黑體" w:cs="微軟正黑體" w:ascii="微軟正黑體" w:hAnsi="微軟正黑體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6240" w:leader="none"/>
        </w:tabs>
        <w:spacing w:lineRule="exact" w:line="500" w:before="120" w:after="120"/>
        <w:ind w:left="993" w:hanging="480"/>
        <w:rPr>
          <w:rFonts w:ascii="微軟正黑體" w:hAnsi="微軟正黑體" w:eastAsia="微軟正黑體" w:cs="微軟正黑體"/>
          <w:b/>
          <w:b/>
          <w:bCs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國際商港工程實務課程</w:t>
      </w:r>
      <w:r>
        <w:rPr>
          <w:rFonts w:ascii="微軟正黑體" w:hAnsi="微軟正黑體" w:cs="微軟正黑體" w:eastAsia="微軟正黑體"/>
          <w:b/>
          <w:bCs/>
          <w:sz w:val="28"/>
          <w:szCs w:val="28"/>
        </w:rPr>
        <w:t>：</w:t>
      </w:r>
    </w:p>
    <w:tbl>
      <w:tblPr>
        <w:tblStyle w:val="TableNormal"/>
        <w:tblW w:w="9100" w:type="dxa"/>
        <w:jc w:val="center"/>
        <w:tblInd w:w="0" w:type="dxa"/>
        <w:tblCellMar>
          <w:top w:w="80" w:type="dxa"/>
          <w:left w:w="7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294"/>
        <w:gridCol w:w="3903"/>
        <w:gridCol w:w="3903"/>
      </w:tblGrid>
      <w:tr>
        <w:trPr>
          <w:trHeight w:val="43" w:hRule="atLeast"/>
        </w:trPr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1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2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162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sz w:val="24"/>
                <w:szCs w:val="24"/>
                <w:lang w:val="en-US"/>
              </w:rPr>
              <w:t>上午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報到、集合</w:t>
            </w:r>
          </w:p>
        </w:tc>
      </w:tr>
      <w:tr>
        <w:trPr>
          <w:trHeight w:val="559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 w:cs="標楷體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碼頭工程概論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6240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  <w:lang w:val="en-US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監造實務</w:t>
            </w:r>
          </w:p>
        </w:tc>
      </w:tr>
      <w:tr>
        <w:trPr>
          <w:trHeight w:val="20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港灣工程概論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6240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參訪防波堤工程</w:t>
            </w:r>
          </w:p>
        </w:tc>
      </w:tr>
      <w:tr>
        <w:trPr>
          <w:trHeight w:val="207" w:hRule="atLeast"/>
        </w:trPr>
        <w:tc>
          <w:tcPr>
            <w:tcW w:w="12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 w:cs="微軟正黑體"/>
                <w:sz w:val="24"/>
                <w:szCs w:val="24"/>
                <w:lang w:val="en-US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12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00~</w:t>
            </w:r>
          </w:p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13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</w:tr>
      <w:tr>
        <w:trPr>
          <w:trHeight w:val="336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下午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商港整體規劃、公共設施概論</w:t>
            </w:r>
          </w:p>
        </w:tc>
        <w:tc>
          <w:tcPr>
            <w:tcW w:w="3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參訪港區其他工程</w:t>
            </w:r>
          </w:p>
        </w:tc>
      </w:tr>
      <w:tr>
        <w:trPr>
          <w:trHeight w:val="20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color w:val="00000A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防波堤工程概論</w:t>
            </w:r>
          </w:p>
        </w:tc>
        <w:tc>
          <w:tcPr>
            <w:tcW w:w="3903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</w:tr>
      <w:tr>
        <w:trPr>
          <w:trHeight w:val="25" w:hRule="atLeast"/>
        </w:trPr>
        <w:tc>
          <w:tcPr>
            <w:tcW w:w="1294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  <w:lang w:val="en-US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備註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/>
              <w:jc w:val="left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Cs w:val="20"/>
              </w:rPr>
              <w:t>當日課程安排可能依實際可提供之參訪時間而有所調整。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6240" w:leader="none"/>
        </w:tabs>
        <w:spacing w:lineRule="exact" w:line="500" w:before="120" w:after="120"/>
        <w:ind w:left="993" w:hanging="480"/>
        <w:rPr>
          <w:rFonts w:ascii="微軟正黑體" w:hAnsi="微軟正黑體" w:eastAsia="微軟正黑體" w:cs="微軟正黑體"/>
          <w:b/>
          <w:b/>
          <w:bCs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國際商港業務實務課程</w:t>
      </w:r>
      <w:r>
        <w:rPr>
          <w:rFonts w:ascii="微軟正黑體" w:hAnsi="微軟正黑體" w:cs="微軟正黑體" w:eastAsia="微軟正黑體"/>
          <w:b/>
          <w:bCs/>
          <w:sz w:val="28"/>
          <w:szCs w:val="28"/>
        </w:rPr>
        <w:t>：</w:t>
      </w:r>
    </w:p>
    <w:tbl>
      <w:tblPr>
        <w:tblStyle w:val="TableNormal"/>
        <w:tblW w:w="9100" w:type="dxa"/>
        <w:jc w:val="center"/>
        <w:tblInd w:w="0" w:type="dxa"/>
        <w:tblCellMar>
          <w:top w:w="80" w:type="dxa"/>
          <w:left w:w="7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294"/>
        <w:gridCol w:w="3903"/>
        <w:gridCol w:w="3903"/>
      </w:tblGrid>
      <w:tr>
        <w:trPr>
          <w:trHeight w:val="43" w:hRule="atLeast"/>
        </w:trPr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1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2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sz w:val="24"/>
                <w:szCs w:val="24"/>
                <w:lang w:val="en-US"/>
              </w:rPr>
              <w:t>上午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報到、集合</w:t>
            </w:r>
          </w:p>
        </w:tc>
      </w:tr>
      <w:tr>
        <w:trPr>
          <w:trHeight w:val="23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 w:cs="標楷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海運市場概述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產業供應鍊管理與分析、</w:t>
            </w:r>
          </w:p>
        </w:tc>
      </w:tr>
      <w:tr>
        <w:trPr>
          <w:trHeight w:val="20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航運業海外業務拓展實務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 w:cs="Arial Unicode MS"/>
                <w:sz w:val="28"/>
                <w:szCs w:val="28"/>
                <w:lang w:val="zh-TW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港口通關實務</w:t>
            </w:r>
          </w:p>
        </w:tc>
      </w:tr>
      <w:tr>
        <w:trPr>
          <w:trHeight w:val="479" w:hRule="atLeast"/>
        </w:trPr>
        <w:tc>
          <w:tcPr>
            <w:tcW w:w="12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 w:cs="微軟正黑體"/>
                <w:sz w:val="24"/>
                <w:szCs w:val="24"/>
                <w:lang w:val="en-US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12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00~|</w:t>
            </w:r>
          </w:p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13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</w:tr>
      <w:tr>
        <w:trPr>
          <w:trHeight w:val="127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下午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港埠經營管理概要</w:t>
            </w:r>
          </w:p>
        </w:tc>
        <w:tc>
          <w:tcPr>
            <w:tcW w:w="3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港區實地參訪</w:t>
            </w:r>
          </w:p>
        </w:tc>
      </w:tr>
      <w:tr>
        <w:trPr>
          <w:trHeight w:val="321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color w:val="00000A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自由貿易港區介紹</w:t>
            </w:r>
          </w:p>
        </w:tc>
        <w:tc>
          <w:tcPr>
            <w:tcW w:w="3903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</w:tr>
      <w:tr>
        <w:trPr>
          <w:trHeight w:val="25" w:hRule="atLeast"/>
        </w:trPr>
        <w:tc>
          <w:tcPr>
            <w:tcW w:w="1294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  <w:lang w:val="en-US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備註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/>
              <w:jc w:val="left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Cs w:val="20"/>
              </w:rPr>
              <w:t>當日課程安排可能依實際可提供之參訪時間而有所調整。</w:t>
            </w:r>
          </w:p>
        </w:tc>
      </w:tr>
    </w:tbl>
    <w:p>
      <w:pPr>
        <w:pStyle w:val="Normal"/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 w:cs="微軟正黑體"/>
          <w:b/>
          <w:b/>
          <w:bCs/>
          <w:sz w:val="28"/>
          <w:szCs w:val="28"/>
        </w:rPr>
      </w:pPr>
      <w:r>
        <w:rPr>
          <w:rFonts w:eastAsia="微軟正黑體" w:cs="微軟正黑體" w:ascii="微軟正黑體" w:hAnsi="微軟正黑體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4"/>
        </w:numPr>
        <w:tabs>
          <w:tab w:val="left" w:pos="6240" w:leader="none"/>
        </w:tabs>
        <w:spacing w:lineRule="exact" w:line="500" w:before="120" w:after="120"/>
        <w:rPr>
          <w:rFonts w:ascii="微軟正黑體" w:hAnsi="微軟正黑體" w:eastAsia="微軟正黑體" w:cs="微軟正黑體"/>
          <w:b/>
          <w:b/>
          <w:bCs/>
          <w:sz w:val="28"/>
          <w:szCs w:val="28"/>
        </w:rPr>
      </w:pPr>
      <w:r>
        <w:rPr>
          <w:rFonts w:ascii="微軟正黑體" w:hAnsi="微軟正黑體" w:cs="細明體" w:eastAsia="微軟正黑體"/>
          <w:b/>
          <w:spacing w:val="23"/>
          <w:sz w:val="28"/>
          <w:szCs w:val="28"/>
        </w:rPr>
        <w:t>海</w:t>
      </w:r>
      <w:r>
        <w:rPr>
          <w:rFonts w:ascii="微軟正黑體" w:hAnsi="微軟正黑體" w:eastAsia="微軟正黑體"/>
          <w:b/>
          <w:spacing w:val="23"/>
          <w:sz w:val="28"/>
          <w:szCs w:val="28"/>
        </w:rPr>
        <w:t>事職類系列課程</w:t>
      </w:r>
      <w:r>
        <w:rPr>
          <w:rFonts w:ascii="微軟正黑體" w:hAnsi="微軟正黑體" w:cs="微軟正黑體" w:eastAsia="微軟正黑體"/>
          <w:b/>
          <w:bCs/>
          <w:sz w:val="28"/>
          <w:szCs w:val="28"/>
        </w:rPr>
        <w:t>：</w:t>
      </w:r>
    </w:p>
    <w:tbl>
      <w:tblPr>
        <w:tblStyle w:val="TableNormal"/>
        <w:tblW w:w="9100" w:type="dxa"/>
        <w:jc w:val="center"/>
        <w:tblInd w:w="0" w:type="dxa"/>
        <w:tblCellMar>
          <w:top w:w="80" w:type="dxa"/>
          <w:left w:w="7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294"/>
        <w:gridCol w:w="3903"/>
        <w:gridCol w:w="3903"/>
      </w:tblGrid>
      <w:tr>
        <w:trPr>
          <w:trHeight w:val="43" w:hRule="atLeast"/>
        </w:trPr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1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2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162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sz w:val="24"/>
                <w:szCs w:val="24"/>
                <w:lang w:val="en-US"/>
              </w:rPr>
              <w:t>上午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報到、集合</w:t>
            </w:r>
          </w:p>
        </w:tc>
      </w:tr>
      <w:tr>
        <w:trPr>
          <w:trHeight w:val="640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Times New Roman" w:eastAsia="微軟正黑體"/>
                <w:sz w:val="28"/>
                <w:szCs w:val="28"/>
              </w:rPr>
              <w:t>海運產業概論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 w:cs="標楷體"/>
                <w:sz w:val="28"/>
                <w:szCs w:val="28"/>
              </w:rPr>
            </w:pPr>
            <w:r>
              <w:rPr>
                <w:rFonts w:eastAsia="微軟正黑體" w:cs="標楷體" w:ascii="微軟正黑體" w:hAnsi="微軟正黑體"/>
                <w:sz w:val="28"/>
                <w:szCs w:val="28"/>
              </w:rPr>
              <w:t>VTS</w:t>
            </w: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管制台參訪</w:t>
            </w:r>
          </w:p>
        </w:tc>
      </w:tr>
      <w:tr>
        <w:trPr>
          <w:trHeight w:val="396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Times New Roman" w:eastAsia="微軟正黑體"/>
                <w:sz w:val="28"/>
                <w:szCs w:val="28"/>
              </w:rPr>
              <w:t>技術類職類介紹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 w:cs="標楷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碼頭與櫃場作業觀摩</w:t>
            </w:r>
          </w:p>
        </w:tc>
      </w:tr>
      <w:tr>
        <w:trPr>
          <w:trHeight w:val="479" w:hRule="atLeast"/>
        </w:trPr>
        <w:tc>
          <w:tcPr>
            <w:tcW w:w="12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 w:cs="微軟正黑體"/>
                <w:sz w:val="24"/>
                <w:szCs w:val="24"/>
                <w:lang w:val="en-US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12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00~|</w:t>
            </w:r>
          </w:p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13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</w:tr>
      <w:tr>
        <w:trPr>
          <w:trHeight w:val="590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下午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Times New Roman" w:eastAsia="微軟正黑體"/>
                <w:sz w:val="28"/>
                <w:szCs w:val="28"/>
              </w:rPr>
              <w:t>管理類職類介紹</w:t>
            </w:r>
          </w:p>
        </w:tc>
        <w:tc>
          <w:tcPr>
            <w:tcW w:w="3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eastAsia="微軟正黑體" w:cs="標楷體" w:ascii="微軟正黑體" w:hAnsi="微軟正黑體"/>
                <w:sz w:val="28"/>
                <w:szCs w:val="28"/>
              </w:rPr>
              <w:t>CIQS</w:t>
            </w: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作業觀摩</w:t>
            </w:r>
          </w:p>
        </w:tc>
      </w:tr>
      <w:tr>
        <w:trPr>
          <w:trHeight w:val="20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color w:val="00000A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郵輪產業介紹</w:t>
            </w:r>
          </w:p>
        </w:tc>
        <w:tc>
          <w:tcPr>
            <w:tcW w:w="3903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</w:tr>
      <w:tr>
        <w:trPr>
          <w:trHeight w:val="313" w:hRule="atLeast"/>
        </w:trPr>
        <w:tc>
          <w:tcPr>
            <w:tcW w:w="1294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  <w:lang w:val="en-US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備註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/>
              <w:jc w:val="left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Cs w:val="20"/>
              </w:rPr>
              <w:t>當日課程安排可能依實際可提供之參訪時間而有所調整。</w:t>
            </w:r>
          </w:p>
        </w:tc>
      </w:tr>
    </w:tbl>
    <w:p>
      <w:pPr>
        <w:pStyle w:val="Normal"/>
        <w:tabs>
          <w:tab w:val="left" w:pos="6240" w:leader="none"/>
        </w:tabs>
        <w:spacing w:lineRule="exact" w:line="500" w:before="120" w:after="120"/>
        <w:ind w:firstLine="454"/>
        <w:rPr>
          <w:rFonts w:ascii="微軟正黑體" w:hAnsi="微軟正黑體" w:eastAsia="微軟正黑體"/>
          <w:spacing w:val="23"/>
          <w:sz w:val="32"/>
          <w:szCs w:val="32"/>
          <w:lang w:val="en-US"/>
        </w:rPr>
      </w:pPr>
      <w:r>
        <w:rPr>
          <w:rFonts w:eastAsia="微軟正黑體" w:ascii="微軟正黑體" w:hAnsi="微軟正黑體"/>
          <w:spacing w:val="23"/>
          <w:sz w:val="32"/>
          <w:szCs w:val="32"/>
          <w:lang w:val="en-US"/>
        </w:rPr>
      </w:r>
    </w:p>
    <w:p>
      <w:pPr>
        <w:pStyle w:val="ListParagraph"/>
        <w:numPr>
          <w:ilvl w:val="0"/>
          <w:numId w:val="4"/>
        </w:numPr>
        <w:tabs>
          <w:tab w:val="left" w:pos="6240" w:leader="none"/>
        </w:tabs>
        <w:spacing w:lineRule="exact" w:line="500" w:before="120" w:after="120"/>
        <w:ind w:left="993" w:hanging="720"/>
        <w:rPr>
          <w:rFonts w:ascii="微軟正黑體" w:hAnsi="微軟正黑體" w:eastAsia="微軟正黑體" w:cs="微軟正黑體"/>
          <w:b/>
          <w:b/>
          <w:bCs/>
          <w:sz w:val="28"/>
          <w:szCs w:val="28"/>
        </w:rPr>
      </w:pPr>
      <w:r>
        <w:rPr>
          <w:rFonts w:ascii="微軟正黑體" w:hAnsi="微軟正黑體" w:eastAsia="微軟正黑體"/>
          <w:b/>
          <w:spacing w:val="23"/>
          <w:sz w:val="28"/>
          <w:szCs w:val="28"/>
        </w:rPr>
        <w:t>郵輪產業系列課程</w:t>
      </w:r>
      <w:r>
        <w:rPr>
          <w:rFonts w:ascii="微軟正黑體" w:hAnsi="微軟正黑體" w:cs="微軟正黑體" w:eastAsia="微軟正黑體"/>
          <w:b/>
          <w:bCs/>
          <w:sz w:val="28"/>
          <w:szCs w:val="28"/>
        </w:rPr>
        <w:t>：</w:t>
      </w:r>
    </w:p>
    <w:tbl>
      <w:tblPr>
        <w:tblStyle w:val="TableNormal"/>
        <w:tblW w:w="9100" w:type="dxa"/>
        <w:jc w:val="center"/>
        <w:tblInd w:w="0" w:type="dxa"/>
        <w:tblCellMar>
          <w:top w:w="80" w:type="dxa"/>
          <w:left w:w="7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294"/>
        <w:gridCol w:w="3903"/>
        <w:gridCol w:w="3903"/>
      </w:tblGrid>
      <w:tr>
        <w:trPr>
          <w:trHeight w:val="43" w:hRule="atLeast"/>
        </w:trPr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1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BDD6EE" w:themeFill="accent1" w:themeFillTint="66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課程內容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(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第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2</w:t>
            </w:r>
            <w:r>
              <w:rPr>
                <w:rFonts w:ascii="微軟正黑體" w:hAnsi="微軟正黑體" w:cs="標楷體" w:eastAsia="微軟正黑體"/>
                <w:b/>
                <w:bCs/>
                <w:sz w:val="24"/>
                <w:szCs w:val="24"/>
              </w:rPr>
              <w:t>天</w:t>
            </w:r>
            <w:r>
              <w:rPr>
                <w:rFonts w:eastAsia="微軟正黑體" w:cs="標楷體" w:ascii="微軟正黑體" w:hAnsi="微軟正黑體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334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sz w:val="24"/>
                <w:szCs w:val="24"/>
                <w:lang w:val="en-US"/>
              </w:rPr>
              <w:t>上午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報到、集合</w:t>
            </w:r>
          </w:p>
        </w:tc>
      </w:tr>
      <w:tr>
        <w:trPr>
          <w:trHeight w:val="117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 w:cs="標楷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郵輪概論</w:t>
            </w:r>
            <w:r>
              <w:rPr>
                <w:rFonts w:eastAsia="微軟正黑體" w:cs="標楷體" w:ascii="微軟正黑體" w:hAnsi="微軟正黑體"/>
                <w:sz w:val="28"/>
                <w:szCs w:val="28"/>
              </w:rPr>
              <w:t>I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8"/>
                <w:szCs w:val="28"/>
              </w:rPr>
              <w:t>郵輪服務人員工作經驗分享</w:t>
            </w:r>
          </w:p>
        </w:tc>
      </w:tr>
      <w:tr>
        <w:trPr>
          <w:trHeight w:val="28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Times New Roman" w:eastAsia="微軟正黑體"/>
                <w:sz w:val="28"/>
                <w:szCs w:val="28"/>
              </w:rPr>
              <w:t>郵輪概論</w:t>
            </w:r>
            <w:r>
              <w:rPr>
                <w:rFonts w:eastAsia="微軟正黑體" w:cs="Times New Roman" w:ascii="微軟正黑體" w:hAnsi="微軟正黑體"/>
                <w:sz w:val="28"/>
                <w:szCs w:val="28"/>
              </w:rPr>
              <w:t>II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8"/>
                <w:szCs w:val="28"/>
              </w:rPr>
              <w:t>郵輪領隊導遊工作介紹</w:t>
            </w:r>
          </w:p>
        </w:tc>
      </w:tr>
      <w:tr>
        <w:trPr>
          <w:trHeight w:val="479" w:hRule="atLeast"/>
        </w:trPr>
        <w:tc>
          <w:tcPr>
            <w:tcW w:w="12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 w:cs="微軟正黑體"/>
                <w:sz w:val="24"/>
                <w:szCs w:val="24"/>
                <w:lang w:val="en-US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12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00~|</w:t>
            </w:r>
          </w:p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13</w:t>
            </w:r>
            <w:r>
              <w:rPr>
                <w:rFonts w:ascii="微軟正黑體" w:hAnsi="微軟正黑體" w:cs="標楷體" w:eastAsia="微軟正黑體"/>
                <w:sz w:val="24"/>
                <w:szCs w:val="24"/>
              </w:rPr>
              <w:t>︰</w:t>
            </w:r>
            <w:r>
              <w:rPr>
                <w:rFonts w:eastAsia="微軟正黑體" w:ascii="微軟正黑體" w:hAnsi="微軟正黑體"/>
                <w:sz w:val="24"/>
                <w:szCs w:val="24"/>
                <w:lang w:val="en-US"/>
              </w:rPr>
              <w:t>00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DEEAF6" w:themeFill="accent1" w:themeFillTint="33" w:val="clear"/>
            <w:tcMar>
              <w:left w:w="75" w:type="dxa"/>
            </w:tcMar>
            <w:vAlign w:val="center"/>
          </w:tcPr>
          <w:p>
            <w:pPr>
              <w:pStyle w:val="Normal"/>
              <w:tabs>
                <w:tab w:val="left" w:pos="2588" w:leader="none"/>
              </w:tabs>
              <w:snapToGrid w:val="false"/>
              <w:jc w:val="center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用餐時間</w:t>
            </w:r>
          </w:p>
        </w:tc>
      </w:tr>
      <w:tr>
        <w:trPr>
          <w:trHeight w:val="65" w:hRule="atLeast"/>
        </w:trPr>
        <w:tc>
          <w:tcPr>
            <w:tcW w:w="129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下午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郵輪經營與管理</w:t>
            </w:r>
          </w:p>
        </w:tc>
        <w:tc>
          <w:tcPr>
            <w:tcW w:w="3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 w:val="28"/>
                <w:szCs w:val="28"/>
              </w:rPr>
              <w:t>郵輪靠港作業與岸上作業介紹</w:t>
            </w:r>
          </w:p>
        </w:tc>
      </w:tr>
      <w:tr>
        <w:trPr>
          <w:trHeight w:val="20" w:hRule="atLeast"/>
        </w:trPr>
        <w:tc>
          <w:tcPr>
            <w:tcW w:w="1294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微軟正黑體" w:cs="Times New Roman"/>
                <w:color w:val="00000A"/>
                <w:sz w:val="24"/>
                <w:szCs w:val="20"/>
                <w:lang w:val="en-US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4"/>
                <w:szCs w:val="2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標楷體" w:eastAsia="微軟正黑體"/>
                <w:sz w:val="28"/>
                <w:szCs w:val="28"/>
              </w:rPr>
              <w:t>郵輪實務</w:t>
            </w:r>
          </w:p>
        </w:tc>
        <w:tc>
          <w:tcPr>
            <w:tcW w:w="3903" w:type="dxa"/>
            <w:vMerge w:val="continue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</w:tr>
      <w:tr>
        <w:trPr>
          <w:trHeight w:val="25" w:hRule="atLeast"/>
        </w:trPr>
        <w:tc>
          <w:tcPr>
            <w:tcW w:w="1294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  <w:color w:val="00000A"/>
                <w:sz w:val="24"/>
                <w:szCs w:val="24"/>
                <w:lang w:val="en-US"/>
              </w:rPr>
            </w:pPr>
            <w:r>
              <w:rPr>
                <w:rFonts w:ascii="微軟正黑體" w:hAnsi="微軟正黑體" w:cs="Times New Roman" w:eastAsia="微軟正黑體"/>
                <w:color w:val="00000A"/>
                <w:sz w:val="24"/>
                <w:szCs w:val="24"/>
                <w:lang w:val="en-US"/>
              </w:rPr>
              <w:t>備註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center"/>
              <w:rPr>
                <w:rFonts w:ascii="Times New Roman" w:hAnsi="Times New Roman" w:eastAsia="微軟正黑體" w:cs="Times New Roman"/>
                <w:color w:val="00000A"/>
                <w:sz w:val="28"/>
                <w:szCs w:val="20"/>
              </w:rPr>
            </w:pPr>
            <w:r>
              <w:rPr>
                <w:rFonts w:eastAsia="微軟正黑體" w:cs="Times New Roman" w:ascii="Times New Roman" w:hAnsi="Times New Roman"/>
                <w:color w:val="00000A"/>
                <w:sz w:val="28"/>
                <w:szCs w:val="20"/>
              </w:rPr>
            </w:r>
          </w:p>
        </w:tc>
        <w:tc>
          <w:tcPr>
            <w:tcW w:w="39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  <w:insideH w:val="single" w:sz="2" w:space="0" w:color="000001"/>
              <w:insideV w:val="single" w:sz="8" w:space="0" w:color="000001"/>
            </w:tcBorders>
            <w:shd w:color="auto" w:fill="FFFFFF" w:val="clear"/>
            <w:tcMar>
              <w:left w:w="75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/>
              <w:jc w:val="left"/>
              <w:rPr>
                <w:rFonts w:ascii="微軟正黑體" w:hAnsi="微軟正黑體" w:eastAsia="微軟正黑體"/>
                <w:color w:val="00000A"/>
                <w:sz w:val="28"/>
                <w:szCs w:val="28"/>
              </w:rPr>
            </w:pPr>
            <w:r>
              <w:rPr>
                <w:rFonts w:ascii="微軟正黑體" w:hAnsi="微軟正黑體" w:cs="微軟正黑體" w:eastAsia="微軟正黑體"/>
                <w:bCs/>
                <w:szCs w:val="20"/>
              </w:rPr>
              <w:t>當日課程安排可能依實際可提供之參訪時間而有所調整。</w:t>
            </w:r>
          </w:p>
        </w:tc>
      </w:tr>
    </w:tbl>
    <w:p>
      <w:pPr>
        <w:pStyle w:val="Normal"/>
        <w:tabs>
          <w:tab w:val="left" w:pos="6240" w:leader="none"/>
        </w:tabs>
        <w:spacing w:lineRule="exact" w:line="500" w:before="120" w:after="120"/>
        <w:ind w:firstLine="454"/>
        <w:rPr>
          <w:rFonts w:ascii="微軟正黑體" w:hAnsi="微軟正黑體" w:eastAsia="微軟正黑體"/>
          <w:spacing w:val="23"/>
          <w:sz w:val="32"/>
          <w:szCs w:val="32"/>
          <w:lang w:val="en-US"/>
        </w:rPr>
      </w:pPr>
      <w:r>
        <w:rPr>
          <w:rFonts w:eastAsia="微軟正黑體" w:ascii="微軟正黑體" w:hAnsi="微軟正黑體"/>
          <w:spacing w:val="23"/>
          <w:sz w:val="32"/>
          <w:szCs w:val="32"/>
          <w:lang w:val="en-US"/>
        </w:rPr>
      </w:r>
    </w:p>
    <w:p>
      <w:pPr>
        <w:pStyle w:val="Normal"/>
        <w:tabs>
          <w:tab w:val="left" w:pos="6240" w:leader="none"/>
        </w:tabs>
        <w:spacing w:lineRule="exact" w:line="500" w:before="120" w:after="120"/>
        <w:ind w:firstLine="454"/>
        <w:rPr/>
      </w:pPr>
      <w:r>
        <w:rPr/>
      </w:r>
    </w:p>
    <w:sectPr>
      <w:footerReference w:type="default" r:id="rId3"/>
      <w:type w:val="nextPage"/>
      <w:pgSz w:w="11906" w:h="16838"/>
      <w:pgMar w:left="851" w:right="851" w:header="0" w:top="709" w:footer="227" w:bottom="851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Arial Unicode MS">
    <w:charset w:val="88"/>
    <w:family w:val="roman"/>
    <w:pitch w:val="variable"/>
  </w:font>
  <w:font w:name="Arial Unicode MS">
    <w:charset w:val="88"/>
    <w:family w:val="swiss"/>
    <w:pitch w:val="variable"/>
  </w:font>
  <w:font w:name="Calibri Light">
    <w:charset w:val="88"/>
    <w:family w:val="roman"/>
    <w:pitch w:val="variable"/>
  </w:font>
  <w:font w:name="微軟正黑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Helvetica">
    <w:altName w:val="Arial"/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微軟正黑體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068103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5"/>
      <w:tabs>
        <w:tab w:val="center" w:pos="4153" w:leader="none"/>
        <w:tab w:val="right" w:pos="8306" w:leader="none"/>
        <w:tab w:val="left" w:pos="8789" w:leader="none"/>
      </w:tabs>
      <w:spacing w:lineRule="exact" w:line="320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9pt;height:7.9pt" o:bullet="t">
        <v:imagedata r:id="rId1" o:title=""/>
      </v:shape>
    </w:pict>
  </w:numPicBullet>
  <w:abstractNum w:abstractNumId="1"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※"/>
      <w:lvlJc w:val="left"/>
      <w:pPr>
        <w:ind w:left="360" w:hanging="360"/>
      </w:pPr>
      <w:rPr>
        <w:rFonts w:ascii="微軟正黑體" w:hAnsi="微軟正黑體" w:cs="微軟正黑體" w:hint="default"/>
        <w:sz w:val="28"/>
        <w:b/>
        <w:rFonts w:cs="微軟正黑體"/>
        <w:color w:val="00000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taiwaneseCountingThousand"/>
      <w:lvlText w:val="%1、"/>
      <w:lvlJc w:val="left"/>
      <w:pPr>
        <w:ind w:left="1124" w:hanging="720"/>
      </w:pPr>
    </w:lvl>
    <w:lvl w:ilvl="1">
      <w:start w:val="1"/>
      <w:numFmt w:val="decimal"/>
      <w:lvlText w:val="%2．"/>
      <w:lvlJc w:val="left"/>
      <w:pPr>
        <w:ind w:left="1604" w:hanging="720"/>
      </w:pPr>
    </w:lvl>
    <w:lvl w:ilvl="2">
      <w:start w:val="1"/>
      <w:numFmt w:val="lowerRoman"/>
      <w:lvlText w:val="%3."/>
      <w:lvlJc w:val="right"/>
      <w:pPr>
        <w:ind w:left="1844" w:hanging="480"/>
      </w:pPr>
    </w:lvl>
    <w:lvl w:ilvl="3">
      <w:start w:val="1"/>
      <w:numFmt w:val="decimal"/>
      <w:lvlText w:val="%4."/>
      <w:lvlJc w:val="left"/>
      <w:pPr>
        <w:ind w:left="2324" w:hanging="480"/>
      </w:pPr>
    </w:lvl>
    <w:lvl w:ilvl="4">
      <w:start w:val="1"/>
      <w:numFmt w:val="ideographTraditional"/>
      <w:lvlText w:val="%5、"/>
      <w:lvlJc w:val="left"/>
      <w:pPr>
        <w:ind w:left="2804" w:hanging="480"/>
      </w:pPr>
    </w:lvl>
    <w:lvl w:ilvl="5">
      <w:start w:val="1"/>
      <w:numFmt w:val="lowerRoman"/>
      <w:lvlText w:val="%6."/>
      <w:lvlJc w:val="right"/>
      <w:pPr>
        <w:ind w:left="3284" w:hanging="480"/>
      </w:pPr>
    </w:lvl>
    <w:lvl w:ilvl="6">
      <w:start w:val="1"/>
      <w:numFmt w:val="decimal"/>
      <w:lvlText w:val="%7."/>
      <w:lvlJc w:val="left"/>
      <w:pPr>
        <w:ind w:left="3764" w:hanging="480"/>
      </w:pPr>
    </w:lvl>
    <w:lvl w:ilvl="7">
      <w:start w:val="1"/>
      <w:numFmt w:val="ideographTraditional"/>
      <w:lvlText w:val="%8、"/>
      <w:lvlJc w:val="left"/>
      <w:pPr>
        <w:ind w:left="4244" w:hanging="480"/>
      </w:pPr>
    </w:lvl>
    <w:lvl w:ilvl="8">
      <w:start w:val="1"/>
      <w:numFmt w:val="lowerRoman"/>
      <w:lvlText w:val="%9."/>
      <w:lvlJc w:val="right"/>
      <w:pPr>
        <w:ind w:left="4724" w:hanging="480"/>
      </w:pPr>
    </w:lvl>
  </w:abstractNum>
  <w:abstractNum w:abstractNumId="4"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  <w:b/>
        <w:rFonts w:ascii="微軟正黑體" w:hAnsi="微軟正黑體" w:cs="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0c22"/>
    <w:pPr>
      <w:widowControl/>
      <w:pBdr/>
      <w:bidi w:val="0"/>
      <w:jc w:val="left"/>
    </w:pPr>
    <w:rPr>
      <w:rFonts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paragraph" w:styleId="1">
    <w:name w:val="Heading 1"/>
    <w:basedOn w:val="Style19"/>
    <w:link w:val="10"/>
    <w:qFormat/>
    <w:rsid w:val="001c0c22"/>
    <w:pPr>
      <w:keepNext/>
      <w:widowControl w:val="false"/>
      <w:pBdr/>
      <w:bidi w:val="0"/>
      <w:spacing w:lineRule="auto" w:line="720" w:before="180" w:after="180"/>
      <w:jc w:val="left"/>
      <w:outlineLvl w:val="0"/>
    </w:pPr>
    <w:rPr>
      <w:rFonts w:ascii="Arial Unicode MS" w:hAnsi="Arial Unicode MS" w:eastAsia="Cambria" w:cs="Arial Unicode MS"/>
      <w:b/>
      <w:bCs/>
      <w:color w:val="000000"/>
      <w:sz w:val="52"/>
      <w:szCs w:val="52"/>
      <w:u w:val="non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標題 1 字元"/>
    <w:basedOn w:val="DefaultParagraphFont"/>
    <w:link w:val="1"/>
    <w:qFormat/>
    <w:rsid w:val="001c0c22"/>
    <w:rPr>
      <w:rFonts w:ascii="Arial Unicode MS" w:hAnsi="Arial Unicode MS" w:eastAsia="Cambria" w:cs="Arial Unicode MS"/>
      <w:b/>
      <w:bCs/>
      <w:color w:val="000000"/>
      <w:sz w:val="52"/>
      <w:szCs w:val="52"/>
      <w:u w:val="none" w:color="000000"/>
    </w:rPr>
  </w:style>
  <w:style w:type="character" w:styleId="Style13">
    <w:name w:val="網際網路連結"/>
    <w:rsid w:val="001c0c22"/>
    <w:rPr>
      <w:u w:val="single"/>
    </w:rPr>
  </w:style>
  <w:style w:type="character" w:styleId="Style14" w:customStyle="1">
    <w:name w:val="頁尾 字元"/>
    <w:basedOn w:val="DefaultParagraphFont"/>
    <w:link w:val="a5"/>
    <w:uiPriority w:val="99"/>
    <w:qFormat/>
    <w:rsid w:val="001c0c22"/>
    <w:rPr>
      <w:rFonts w:ascii="Calibri" w:hAnsi="Calibri" w:cs="Arial Unicode MS"/>
      <w:color w:val="000000"/>
      <w:sz w:val="20"/>
      <w:szCs w:val="20"/>
      <w:u w:val="none" w:color="000000"/>
    </w:rPr>
  </w:style>
  <w:style w:type="character" w:styleId="Style15" w:customStyle="1">
    <w:name w:val="標題 字元"/>
    <w:basedOn w:val="DefaultParagraphFont"/>
    <w:link w:val="a7"/>
    <w:qFormat/>
    <w:rsid w:val="001c0c22"/>
    <w:rPr>
      <w:rFonts w:ascii="Arial Unicode MS" w:hAnsi="Arial Unicode MS" w:eastAsia="Helvetica" w:cs="Arial Unicode MS"/>
      <w:b/>
      <w:bCs/>
      <w:color w:val="000000"/>
      <w:sz w:val="60"/>
      <w:szCs w:val="60"/>
      <w:lang w:val="zh-TW"/>
    </w:rPr>
  </w:style>
  <w:style w:type="character" w:styleId="Style16" w:customStyle="1">
    <w:name w:val="頁首 字元"/>
    <w:basedOn w:val="DefaultParagraphFont"/>
    <w:link w:val="ab"/>
    <w:uiPriority w:val="99"/>
    <w:qFormat/>
    <w:rsid w:val="001c0c22"/>
    <w:rPr>
      <w:rFonts w:ascii="Arial Unicode MS" w:hAnsi="Arial Unicode MS" w:eastAsia="Helvetica" w:cs="Arial Unicode MS"/>
      <w:color w:val="000000"/>
      <w:sz w:val="20"/>
      <w:szCs w:val="20"/>
      <w:lang w:val="zh-TW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0c22"/>
    <w:rPr>
      <w:sz w:val="18"/>
      <w:szCs w:val="18"/>
    </w:rPr>
  </w:style>
  <w:style w:type="character" w:styleId="Style17" w:customStyle="1">
    <w:name w:val="註解文字 字元"/>
    <w:basedOn w:val="DefaultParagraphFont"/>
    <w:link w:val="af"/>
    <w:uiPriority w:val="99"/>
    <w:semiHidden/>
    <w:qFormat/>
    <w:rsid w:val="001c0c22"/>
    <w:rPr>
      <w:rFonts w:ascii="Arial Unicode MS" w:hAnsi="Arial Unicode MS" w:eastAsia="Helvetica" w:cs="Arial Unicode MS"/>
      <w:color w:val="000000"/>
      <w:sz w:val="22"/>
      <w:lang w:val="zh-TW"/>
    </w:rPr>
  </w:style>
  <w:style w:type="character" w:styleId="Style18" w:customStyle="1">
    <w:name w:val="註解方塊文字 字元"/>
    <w:basedOn w:val="DefaultParagraphFont"/>
    <w:link w:val="af1"/>
    <w:uiPriority w:val="99"/>
    <w:semiHidden/>
    <w:qFormat/>
    <w:rsid w:val="001c0c22"/>
    <w:rPr>
      <w:rFonts w:ascii="Calibri Light" w:hAnsi="Calibri Light" w:eastAsia="新細明體" w:cs="" w:asciiTheme="majorHAnsi" w:cstheme="majorBidi" w:eastAsiaTheme="majorEastAsia" w:hAnsiTheme="majorHAnsi"/>
      <w:color w:val="000000"/>
      <w:sz w:val="18"/>
      <w:szCs w:val="18"/>
      <w:lang w:val="zh-TW"/>
    </w:rPr>
  </w:style>
  <w:style w:type="character" w:styleId="Splang1" w:customStyle="1">
    <w:name w:val="splang1"/>
    <w:basedOn w:val="DefaultParagraphFont"/>
    <w:qFormat/>
    <w:rsid w:val="00e1615e"/>
    <w:rPr/>
  </w:style>
  <w:style w:type="character" w:styleId="ListLabel1">
    <w:name w:val="ListLabel 1"/>
    <w:qFormat/>
    <w:rPr>
      <w:lang w:val="zh-TW" w:eastAsia="zh-TW"/>
    </w:rPr>
  </w:style>
  <w:style w:type="character" w:styleId="ListLabel2">
    <w:name w:val="ListLabel 2"/>
    <w:qFormat/>
    <w:rPr>
      <w:color w:val="FF0000"/>
    </w:rPr>
  </w:style>
  <w:style w:type="character" w:styleId="ListLabel3">
    <w:name w:val="ListLabel 3"/>
    <w:qFormat/>
    <w:rPr>
      <w:lang w:val="zh-TW" w:eastAsia="zh-TW"/>
    </w:rPr>
  </w:style>
  <w:style w:type="character" w:styleId="ListLabel4">
    <w:name w:val="ListLabel 4"/>
    <w:qFormat/>
    <w:rPr>
      <w:lang w:val="zh-TW" w:eastAsia="zh-TW"/>
    </w:rPr>
  </w:style>
  <w:style w:type="character" w:styleId="ListLabel5">
    <w:name w:val="ListLabel 5"/>
    <w:qFormat/>
    <w:rPr>
      <w:lang w:val="zh-TW" w:eastAsia="zh-TW"/>
    </w:rPr>
  </w:style>
  <w:style w:type="character" w:styleId="ListLabel6">
    <w:name w:val="ListLabel 6"/>
    <w:qFormat/>
    <w:rPr>
      <w:lang w:val="zh-TW" w:eastAsia="zh-TW"/>
    </w:rPr>
  </w:style>
  <w:style w:type="character" w:styleId="ListLabel7">
    <w:name w:val="ListLabel 7"/>
    <w:qFormat/>
    <w:rPr>
      <w:lang w:val="zh-TW" w:eastAsia="zh-TW"/>
    </w:rPr>
  </w:style>
  <w:style w:type="character" w:styleId="ListLabel8">
    <w:name w:val="ListLabel 8"/>
    <w:qFormat/>
    <w:rPr>
      <w:lang w:val="zh-TW" w:eastAsia="zh-TW"/>
    </w:rPr>
  </w:style>
  <w:style w:type="character" w:styleId="ListLabel9">
    <w:name w:val="ListLabel 9"/>
    <w:qFormat/>
    <w:rPr>
      <w:lang w:val="zh-TW" w:eastAsia="zh-TW"/>
    </w:rPr>
  </w:style>
  <w:style w:type="character" w:styleId="ListLabel10">
    <w:name w:val="ListLabel 10"/>
    <w:qFormat/>
    <w:rPr>
      <w:lang w:val="zh-TW" w:eastAsia="zh-TW"/>
    </w:rPr>
  </w:style>
  <w:style w:type="character" w:styleId="ListLabel11">
    <w:name w:val="ListLabel 11"/>
    <w:qFormat/>
    <w:rPr>
      <w:color w:val="FF0000"/>
    </w:rPr>
  </w:style>
  <w:style w:type="character" w:styleId="ListLabel12">
    <w:name w:val="ListLabel 12"/>
    <w:qFormat/>
    <w:rPr>
      <w:lang w:val="zh-TW" w:eastAsia="zh-TW"/>
    </w:rPr>
  </w:style>
  <w:style w:type="character" w:styleId="ListLabel13">
    <w:name w:val="ListLabel 13"/>
    <w:qFormat/>
    <w:rPr>
      <w:lang w:val="zh-TW" w:eastAsia="zh-TW"/>
    </w:rPr>
  </w:style>
  <w:style w:type="character" w:styleId="ListLabel14">
    <w:name w:val="ListLabel 14"/>
    <w:qFormat/>
    <w:rPr>
      <w:lang w:val="zh-TW" w:eastAsia="zh-TW"/>
    </w:rPr>
  </w:style>
  <w:style w:type="character" w:styleId="ListLabel15">
    <w:name w:val="ListLabel 15"/>
    <w:qFormat/>
    <w:rPr>
      <w:lang w:val="zh-TW" w:eastAsia="zh-TW"/>
    </w:rPr>
  </w:style>
  <w:style w:type="character" w:styleId="ListLabel16">
    <w:name w:val="ListLabel 16"/>
    <w:qFormat/>
    <w:rPr>
      <w:lang w:val="zh-TW" w:eastAsia="zh-TW"/>
    </w:rPr>
  </w:style>
  <w:style w:type="character" w:styleId="ListLabel17">
    <w:name w:val="ListLabel 17"/>
    <w:qFormat/>
    <w:rPr>
      <w:lang w:val="zh-TW" w:eastAsia="zh-TW"/>
    </w:rPr>
  </w:style>
  <w:style w:type="character" w:styleId="ListLabel18">
    <w:name w:val="ListLabel 18"/>
    <w:qFormat/>
    <w:rPr>
      <w:lang w:val="zh-TW" w:eastAsia="zh-TW"/>
    </w:rPr>
  </w:style>
  <w:style w:type="character" w:styleId="ListLabel19">
    <w:name w:val="ListLabel 19"/>
    <w:qFormat/>
    <w:rPr>
      <w:lang w:val="en-US"/>
    </w:rPr>
  </w:style>
  <w:style w:type="character" w:styleId="ListLabel20">
    <w:name w:val="ListLabel 20"/>
    <w:qFormat/>
    <w:rPr>
      <w:rFonts w:ascii="微軟正黑體" w:hAnsi="微軟正黑體" w:eastAsia="微軟正黑體" w:cs="微軟正黑體"/>
      <w:b/>
      <w:color w:val="000000"/>
      <w:sz w:val="28"/>
    </w:rPr>
  </w:style>
  <w:style w:type="character" w:styleId="ListLabel21">
    <w:name w:val="ListLabel 21"/>
    <w:qFormat/>
    <w:rPr>
      <w:rFonts w:ascii="微軟正黑體" w:hAnsi="微軟正黑體" w:cs="細明體"/>
      <w:b/>
      <w:sz w:val="28"/>
    </w:rPr>
  </w:style>
  <w:style w:type="paragraph" w:styleId="Style19">
    <w:name w:val="標題"/>
    <w:basedOn w:val="Normal"/>
    <w:next w:val="Style20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 w:customStyle="1">
    <w:name w:val="頁首與頁尾"/>
    <w:qFormat/>
    <w:rsid w:val="001c0c22"/>
    <w:pPr>
      <w:widowControl/>
      <w:pBdr/>
      <w:tabs>
        <w:tab w:val="right" w:pos="9020" w:leader="none"/>
      </w:tabs>
      <w:bidi w:val="0"/>
      <w:jc w:val="left"/>
    </w:pPr>
    <w:rPr>
      <w:rFonts w:ascii="Helvetica" w:hAnsi="Helvetica" w:cs="Arial Unicode MS" w:eastAsia="新細明體"/>
      <w:color w:val="000000"/>
      <w:sz w:val="22"/>
      <w:szCs w:val="24"/>
      <w:lang w:val="en-US" w:eastAsia="zh-TW" w:bidi="ar-SA"/>
    </w:rPr>
  </w:style>
  <w:style w:type="paragraph" w:styleId="Style25">
    <w:name w:val="Footer"/>
    <w:basedOn w:val="Normal"/>
    <w:link w:val="a6"/>
    <w:uiPriority w:val="99"/>
    <w:rsid w:val="001c0c22"/>
    <w:pPr>
      <w:widowControl w:val="false"/>
      <w:pBdr/>
      <w:tabs>
        <w:tab w:val="center" w:pos="4153" w:leader="none"/>
        <w:tab w:val="right" w:pos="8306" w:leader="none"/>
      </w:tabs>
      <w:bidi w:val="0"/>
      <w:spacing w:lineRule="exact" w:line="800"/>
      <w:jc w:val="both"/>
    </w:pPr>
    <w:rPr>
      <w:rFonts w:ascii="Calibri" w:hAnsi="Calibri" w:cs="Arial Unicode MS"/>
      <w:color w:val="000000"/>
      <w:sz w:val="20"/>
      <w:szCs w:val="20"/>
      <w:u w:val="none" w:color="000000"/>
    </w:rPr>
  </w:style>
  <w:style w:type="paragraph" w:styleId="Style26">
    <w:name w:val="Title"/>
    <w:basedOn w:val="Style19"/>
    <w:link w:val="a8"/>
    <w:qFormat/>
    <w:rsid w:val="001c0c22"/>
    <w:pPr>
      <w:keepNext/>
      <w:widowControl/>
      <w:pBdr/>
      <w:bidi w:val="0"/>
      <w:jc w:val="left"/>
    </w:pPr>
    <w:rPr>
      <w:rFonts w:ascii="Arial Unicode MS" w:hAnsi="Arial Unicode MS" w:eastAsia="Helvetica" w:cs="Arial Unicode MS"/>
      <w:b/>
      <w:bCs/>
      <w:color w:val="000000"/>
      <w:sz w:val="60"/>
      <w:szCs w:val="60"/>
      <w:lang w:val="zh-TW"/>
    </w:rPr>
  </w:style>
  <w:style w:type="paragraph" w:styleId="Style27" w:customStyle="1">
    <w:name w:val="預設值"/>
    <w:qFormat/>
    <w:rsid w:val="001c0c22"/>
    <w:pPr>
      <w:widowControl/>
      <w:pBdr/>
      <w:bidi w:val="0"/>
      <w:jc w:val="left"/>
    </w:pPr>
    <w:rPr>
      <w:rFonts w:ascii="Helvetica" w:hAnsi="Helvetica" w:cs="Arial Unicode MS" w:eastAsia="新細明體"/>
      <w:color w:val="000000"/>
      <w:sz w:val="22"/>
      <w:szCs w:val="22"/>
      <w:lang w:val="en-US" w:eastAsia="zh-TW" w:bidi="ar-SA"/>
    </w:rPr>
  </w:style>
  <w:style w:type="paragraph" w:styleId="ListParagraph">
    <w:name w:val="List Paragraph"/>
    <w:uiPriority w:val="34"/>
    <w:qFormat/>
    <w:rsid w:val="001c0c22"/>
    <w:pPr>
      <w:widowControl w:val="false"/>
      <w:pBdr/>
      <w:bidi w:val="0"/>
      <w:spacing w:lineRule="exact" w:line="800"/>
      <w:ind w:left="480" w:hanging="0"/>
      <w:jc w:val="both"/>
    </w:pPr>
    <w:rPr>
      <w:rFonts w:ascii="Calibri" w:hAnsi="Calibri" w:eastAsia="Calibri" w:cs="Calibri"/>
      <w:color w:val="000000"/>
      <w:sz w:val="22"/>
      <w:szCs w:val="24"/>
      <w:u w:val="none" w:color="000000"/>
      <w:lang w:val="en-US" w:eastAsia="zh-TW" w:bidi="ar-SA"/>
    </w:rPr>
  </w:style>
  <w:style w:type="paragraph" w:styleId="2" w:customStyle="1">
    <w:name w:val="表格樣式 2"/>
    <w:qFormat/>
    <w:rsid w:val="001c0c22"/>
    <w:pPr>
      <w:widowControl/>
      <w:pBdr/>
      <w:bidi w:val="0"/>
      <w:jc w:val="left"/>
    </w:pPr>
    <w:rPr>
      <w:rFonts w:ascii="Arial Unicode MS" w:hAnsi="Arial Unicode MS" w:eastAsia="Helvetica" w:cs="Arial Unicode MS"/>
      <w:color w:val="000000"/>
      <w:sz w:val="20"/>
      <w:szCs w:val="20"/>
      <w:lang w:val="zh-TW" w:eastAsia="zh-TW" w:bidi="ar-SA"/>
    </w:rPr>
  </w:style>
  <w:style w:type="paragraph" w:styleId="Style28">
    <w:name w:val="Header"/>
    <w:basedOn w:val="Normal"/>
    <w:link w:val="ac"/>
    <w:uiPriority w:val="99"/>
    <w:unhideWhenUsed/>
    <w:rsid w:val="001c0c2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1c0c22"/>
    <w:pPr/>
    <w:rPr/>
  </w:style>
  <w:style w:type="paragraph" w:styleId="BalloonText">
    <w:name w:val="Balloon Text"/>
    <w:basedOn w:val="Normal"/>
    <w:link w:val="af2"/>
    <w:uiPriority w:val="99"/>
    <w:semiHidden/>
    <w:unhideWhenUsed/>
    <w:qFormat/>
    <w:rsid w:val="001c0c22"/>
    <w:pPr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622e2"/>
    <w:pPr>
      <w:pBdr/>
      <w:spacing w:beforeAutospacing="1" w:afterAutospacing="1"/>
    </w:pPr>
    <w:rPr>
      <w:rFonts w:ascii="新細明體" w:hAnsi="新細明體" w:eastAsia="新細明體" w:cs="新細明體"/>
      <w:color w:val="00000A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c0c22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1c0c2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LibreOffice/5.2.5.1$Windows_x86 LibreOffice_project/0312e1a284a7d50ca85a365c316c7abbf20a4d22</Application>
  <Pages>4</Pages>
  <Words>848</Words>
  <Characters>889</Characters>
  <CharactersWithSpaces>900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2018-05-02T09:58:00Z</dcterms:created>
  <dc:creator>Goan</dc:creator>
  <dc:description/>
  <dc:language>zh-TW</dc:language>
  <cp:lastModifiedBy/>
  <cp:lastPrinted>2018-03-02T01:27:00Z</cp:lastPrinted>
  <dcterms:modified xsi:type="dcterms:W3CDTF">2018-05-07T08:55:22Z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